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D2" w:rsidRDefault="005800D2" w:rsidP="005800D2">
      <w:pPr>
        <w:spacing w:after="0" w:line="480" w:lineRule="auto"/>
        <w:jc w:val="center"/>
        <w:rPr>
          <w:rFonts w:ascii="Times New Roman" w:hAnsi="Times New Roman" w:cs="Times New Roman"/>
          <w:sz w:val="24"/>
          <w:szCs w:val="24"/>
        </w:rPr>
      </w:pPr>
      <w:bookmarkStart w:id="0" w:name="_GoBack"/>
      <w:bookmarkEnd w:id="0"/>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Default="005800D2" w:rsidP="005800D2">
      <w:pPr>
        <w:spacing w:after="0" w:line="480" w:lineRule="auto"/>
        <w:jc w:val="center"/>
        <w:rPr>
          <w:rFonts w:ascii="Times New Roman" w:hAnsi="Times New Roman" w:cs="Times New Roman"/>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The Competitive Analysis</w:t>
      </w: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Name of Student</w:t>
      </w: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t>Institution</w:t>
      </w: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Default="005800D2" w:rsidP="005800D2">
      <w:pPr>
        <w:spacing w:after="0" w:line="480" w:lineRule="auto"/>
        <w:jc w:val="center"/>
        <w:rPr>
          <w:rFonts w:ascii="Times New Roman" w:hAnsi="Times New Roman" w:cs="Times New Roman"/>
          <w:b/>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b/>
          <w:sz w:val="24"/>
          <w:szCs w:val="24"/>
        </w:rPr>
        <w:lastRenderedPageBreak/>
        <w:t>The Competitive Analy</w:t>
      </w:r>
      <w:r w:rsidRPr="005800D2">
        <w:rPr>
          <w:rFonts w:ascii="Times New Roman" w:hAnsi="Times New Roman" w:cs="Times New Roman"/>
          <w:sz w:val="24"/>
          <w:szCs w:val="24"/>
        </w:rPr>
        <w:t>sis</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Competitors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connective company operates as a brokerage company in the broader European markets, but it specifies its activities in the American jurisdiction. In this location, it faces stiff competition from companies that had already established themselves in the market. Transworld and Sunbelt are the companies intensify the competition in the brokerage industry. There is a specific number of rules and policies that govern the industry, and they are subjective to changes depending on the states that the company operates. Rules and laws are dynamic, and the best way to understand them is by benchmarking the activities of companies that existed before you</w:t>
      </w:r>
      <w:r w:rsidRPr="005800D2">
        <w:rPr>
          <w:rFonts w:ascii="Times New Roman" w:hAnsi="Times New Roman" w:cs="Times New Roman"/>
          <w:sz w:val="24"/>
          <w:szCs w:val="24"/>
        </w:rPr>
        <w:t xml:space="preserve"> (Bouranta &amp; Psomas, 2017)</w:t>
      </w:r>
      <w:r w:rsidR="0016654C" w:rsidRPr="005800D2">
        <w:rPr>
          <w:rFonts w:ascii="Times New Roman" w:hAnsi="Times New Roman" w:cs="Times New Roman"/>
          <w:sz w:val="24"/>
          <w:szCs w:val="24"/>
        </w:rPr>
        <w:t>. For the competitive analysis to be complete, there must be the element of studying the underlying consumer trends. This concept helps a growing company. The Connective to set its ethical, financial, social and operational standards on a clear baseline. Sunbelt tops the list of competitors because it has established globally and it specializes in linking big companies. Transworld has a reputation for closing deals for small and mid-sized companies, and it is the best company that can share baseline information to transform the activities of The Connective.</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Competition</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Competition in the brokerage industry is not very stiff like it is in other sectors. Prices do not influence consumer behavior, and this cannot be a threat to existing companies. Most brokerage companies operate under the regulation of the Certified Business Intermediaries (CBI), and International Business Broker Association (IBBA) and their brokers have to pass through the vetting process before they are allowed to operate in any jurisdiction. This concept shows that there are strict rules that guide the industry. Competition is fair because most brokers </w:t>
      </w:r>
      <w:r w:rsidR="0016654C" w:rsidRPr="005800D2">
        <w:rPr>
          <w:rFonts w:ascii="Times New Roman" w:hAnsi="Times New Roman" w:cs="Times New Roman"/>
          <w:sz w:val="24"/>
          <w:szCs w:val="24"/>
        </w:rPr>
        <w:lastRenderedPageBreak/>
        <w:t>get a share of between 10 percent and 12 percent of the total value of the deal upon closure</w:t>
      </w:r>
      <w:r w:rsidRPr="005800D2">
        <w:rPr>
          <w:rFonts w:ascii="Times New Roman" w:hAnsi="Times New Roman" w:cs="Times New Roman"/>
          <w:sz w:val="24"/>
          <w:szCs w:val="24"/>
        </w:rPr>
        <w:t xml:space="preserve"> (Fleisher &amp; Bensoussan, 2015)</w:t>
      </w:r>
      <w:r w:rsidR="0016654C" w:rsidRPr="005800D2">
        <w:rPr>
          <w:rFonts w:ascii="Times New Roman" w:hAnsi="Times New Roman" w:cs="Times New Roman"/>
          <w:sz w:val="24"/>
          <w:szCs w:val="24"/>
        </w:rPr>
        <w:t>. This regulation applies to Sunbelt and Transworld companies, for The Connective, the brokers get 50 percent of the full share upon the closing of the business.</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Suppliers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question of the suppliers of the brokerage is open-ended. Partners that have contracts with brokerage companies can provide its goods and services to any client given to it by the brokerage company. There may be more than one partner than offers specific products and services. Depending on the needs of the client, the brokerage company has the authority to choose a partner that meets the needs of the client best. This guideline unveils the concept of confidentiality that is paramount in the brokerage industry</w:t>
      </w:r>
      <w:r w:rsidRPr="005800D2">
        <w:rPr>
          <w:rFonts w:ascii="Times New Roman" w:hAnsi="Times New Roman" w:cs="Times New Roman"/>
          <w:sz w:val="24"/>
          <w:szCs w:val="24"/>
        </w:rPr>
        <w:t xml:space="preserve"> (Jayant, Giri, Singh &amp; Luthra, 2018)</w:t>
      </w:r>
      <w:r w:rsidR="0016654C" w:rsidRPr="005800D2">
        <w:rPr>
          <w:rFonts w:ascii="Times New Roman" w:hAnsi="Times New Roman" w:cs="Times New Roman"/>
          <w:sz w:val="24"/>
          <w:szCs w:val="24"/>
        </w:rPr>
        <w:t>. Suppliers can range from financial institutions, resorts, bars, offices, logistic companies, security companies et cetera. The list endless</w:t>
      </w:r>
      <w:r w:rsidRPr="005800D2">
        <w:rPr>
          <w:rFonts w:ascii="Times New Roman" w:hAnsi="Times New Roman" w:cs="Times New Roman"/>
          <w:sz w:val="24"/>
          <w:szCs w:val="24"/>
        </w:rPr>
        <w:t xml:space="preserve"> and the type of industries can</w:t>
      </w:r>
      <w:r w:rsidR="0016654C" w:rsidRPr="005800D2">
        <w:rPr>
          <w:rFonts w:ascii="Times New Roman" w:hAnsi="Times New Roman" w:cs="Times New Roman"/>
          <w:sz w:val="24"/>
          <w:szCs w:val="24"/>
        </w:rPr>
        <w:t xml:space="preserve">not restrict it. Suppliers have no power in the industry if they are displeased by the products or services they get from their broker partner they can partner with other companies that suit their needs. </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Consumers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There is a unique identifier placed on clients that interact with brokerage companies. Clients are usually the products that brokerage companies sell to their partners. After referral of clients to their partner's products and services, there are two ways that the business can end. The brokers may transact the deal on behalf of the client and receive their share, or they wait for financial commissions from the brokerage companies that employ them after the transaction has closed. The links, or what is popularly known as the connections, are what define the success or failure of a business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xml:space="preserve">. As such business grow, they meet new clients and form new links that broaden the base of the companies. This reason asserts the theory that the </w:t>
      </w:r>
      <w:r w:rsidR="0016654C" w:rsidRPr="005800D2">
        <w:rPr>
          <w:rFonts w:ascii="Times New Roman" w:hAnsi="Times New Roman" w:cs="Times New Roman"/>
          <w:sz w:val="24"/>
          <w:szCs w:val="24"/>
        </w:rPr>
        <w:lastRenderedPageBreak/>
        <w:t>more a brokerage company exists, the more it transacts businesses. Consumers cannot determine the direction of the company in this case, and this is the reason why there must be state and federal regulations to deter malpractice.</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Switching </w:t>
      </w:r>
      <w:r w:rsidR="005800D2" w:rsidRPr="005800D2">
        <w:rPr>
          <w:rFonts w:ascii="Times New Roman" w:hAnsi="Times New Roman" w:cs="Times New Roman"/>
          <w:b/>
          <w:sz w:val="24"/>
          <w:szCs w:val="24"/>
        </w:rPr>
        <w:t>Products and Services</w:t>
      </w:r>
    </w:p>
    <w:p w:rsidR="0016654C"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The probability of consumers switching from one brokerage company's products and services to another is very low. Some regulations ensure fairness in the industry and breaching would lead to revocation of operating licenses and deregistration from company listings. One significant advantage of this venture is that there underpricing is discouraged and this drives the revenue of the named company. Price factors are always a trigger to client product and service switch, but when such regulations pass the implementation stage, the switch rate significantly reduces</w:t>
      </w:r>
      <w:r w:rsidRPr="005800D2">
        <w:rPr>
          <w:rFonts w:ascii="Times New Roman" w:hAnsi="Times New Roman" w:cs="Times New Roman"/>
          <w:sz w:val="24"/>
          <w:szCs w:val="24"/>
        </w:rPr>
        <w:t xml:space="preserve"> (Viswanadham, 2018)</w:t>
      </w:r>
      <w:r w:rsidR="0016654C" w:rsidRPr="005800D2">
        <w:rPr>
          <w:rFonts w:ascii="Times New Roman" w:hAnsi="Times New Roman" w:cs="Times New Roman"/>
          <w:sz w:val="24"/>
          <w:szCs w:val="24"/>
        </w:rPr>
        <w:t xml:space="preserve">. A switch may only occur if the approached brokerage company does not have primary or second links with the desired products or services. Then there is the element of information confinement among brokerage companies in the sense that they cannot share client or partner links. The atmosphere is entirely capitalistic, and each company tries to overpower its external competition. </w:t>
      </w:r>
    </w:p>
    <w:p w:rsidR="0016654C" w:rsidRPr="005800D2" w:rsidRDefault="0016654C" w:rsidP="005800D2">
      <w:pPr>
        <w:spacing w:after="0" w:line="480" w:lineRule="auto"/>
        <w:rPr>
          <w:rFonts w:ascii="Times New Roman" w:hAnsi="Times New Roman" w:cs="Times New Roman"/>
          <w:b/>
          <w:sz w:val="24"/>
          <w:szCs w:val="24"/>
        </w:rPr>
      </w:pPr>
      <w:r w:rsidRPr="005800D2">
        <w:rPr>
          <w:rFonts w:ascii="Times New Roman" w:hAnsi="Times New Roman" w:cs="Times New Roman"/>
          <w:b/>
          <w:sz w:val="24"/>
          <w:szCs w:val="24"/>
        </w:rPr>
        <w:t xml:space="preserve">New </w:t>
      </w:r>
      <w:r w:rsidR="005800D2" w:rsidRPr="005800D2">
        <w:rPr>
          <w:rFonts w:ascii="Times New Roman" w:hAnsi="Times New Roman" w:cs="Times New Roman"/>
          <w:b/>
          <w:sz w:val="24"/>
          <w:szCs w:val="24"/>
        </w:rPr>
        <w:t>Competition</w:t>
      </w:r>
    </w:p>
    <w:p w:rsidR="00121AD3" w:rsidRPr="005800D2" w:rsidRDefault="005800D2" w:rsidP="005800D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6654C" w:rsidRPr="005800D2">
        <w:rPr>
          <w:rFonts w:ascii="Times New Roman" w:hAnsi="Times New Roman" w:cs="Times New Roman"/>
          <w:sz w:val="24"/>
          <w:szCs w:val="24"/>
        </w:rPr>
        <w:t xml:space="preserve">Competition is a factor that drives excellence of any product and service. There must be the aspect of competition in almost all products and services for customers to get a value for their money. Lately, brokerage companies have been diversifying their products and services to offer full packages. Drafting of Business valuation reports and partial financing are some of the latest additions to the earlier packages. One importance of the named indulgences is that they help foster loyalty among its clients. Entry barriers in the brokerage industry are very high. Though technology; especially social media, has revolutionized how people interact, there is still the </w:t>
      </w:r>
      <w:r w:rsidR="0016654C" w:rsidRPr="005800D2">
        <w:rPr>
          <w:rFonts w:ascii="Times New Roman" w:hAnsi="Times New Roman" w:cs="Times New Roman"/>
          <w:sz w:val="24"/>
          <w:szCs w:val="24"/>
        </w:rPr>
        <w:lastRenderedPageBreak/>
        <w:t>problematic physical aspect of meeting people as clients or partners</w:t>
      </w:r>
      <w:r w:rsidRPr="005800D2">
        <w:rPr>
          <w:rFonts w:ascii="Times New Roman" w:hAnsi="Times New Roman" w:cs="Times New Roman"/>
          <w:sz w:val="24"/>
          <w:szCs w:val="24"/>
        </w:rPr>
        <w:t xml:space="preserve"> (Jayant, Giri, Singh &amp; Luthra, 2018)</w:t>
      </w:r>
      <w:r w:rsidR="0016654C" w:rsidRPr="005800D2">
        <w:rPr>
          <w:rFonts w:ascii="Times New Roman" w:hAnsi="Times New Roman" w:cs="Times New Roman"/>
          <w:sz w:val="24"/>
          <w:szCs w:val="24"/>
        </w:rPr>
        <w:t>. Many deals that any brokerage company completes are done face to face because they instill a sense of trust in the customers or partners. Moreover, brokerage companies grow their bases on referrals. This twist makes it extremely hard for emerging brokerage companies to get clients and partners it needs to improve.</w:t>
      </w: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Default="005800D2" w:rsidP="005800D2">
      <w:pPr>
        <w:spacing w:after="0" w:line="480" w:lineRule="auto"/>
        <w:rPr>
          <w:rFonts w:ascii="Times New Roman" w:hAnsi="Times New Roman" w:cs="Times New Roman"/>
          <w:sz w:val="24"/>
          <w:szCs w:val="24"/>
        </w:rPr>
      </w:pPr>
    </w:p>
    <w:p w:rsidR="005800D2" w:rsidRPr="005800D2" w:rsidRDefault="005800D2" w:rsidP="005800D2">
      <w:pPr>
        <w:spacing w:after="0" w:line="480" w:lineRule="auto"/>
        <w:jc w:val="center"/>
        <w:rPr>
          <w:rFonts w:ascii="Times New Roman" w:hAnsi="Times New Roman" w:cs="Times New Roman"/>
          <w:sz w:val="24"/>
          <w:szCs w:val="24"/>
        </w:rPr>
      </w:pPr>
      <w:r w:rsidRPr="005800D2">
        <w:rPr>
          <w:rFonts w:ascii="Times New Roman" w:hAnsi="Times New Roman" w:cs="Times New Roman"/>
          <w:sz w:val="24"/>
          <w:szCs w:val="24"/>
        </w:rPr>
        <w:lastRenderedPageBreak/>
        <w:t>References</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Bouranta, N., &amp; Psomas, E. (2017). A comparative analysi</w:t>
      </w:r>
      <w:r>
        <w:rPr>
          <w:rFonts w:ascii="Times New Roman" w:hAnsi="Times New Roman" w:cs="Times New Roman"/>
          <w:sz w:val="24"/>
          <w:szCs w:val="24"/>
        </w:rPr>
        <w:t>s of competitive priorities and</w:t>
      </w:r>
      <w:r>
        <w:rPr>
          <w:rFonts w:ascii="Times New Roman" w:hAnsi="Times New Roman" w:cs="Times New Roman"/>
          <w:sz w:val="24"/>
          <w:szCs w:val="24"/>
        </w:rPr>
        <w:tab/>
      </w:r>
      <w:r w:rsidRPr="005800D2">
        <w:rPr>
          <w:rFonts w:ascii="Times New Roman" w:hAnsi="Times New Roman" w:cs="Times New Roman"/>
          <w:sz w:val="24"/>
          <w:szCs w:val="24"/>
        </w:rPr>
        <w:t xml:space="preserve">business performance between manufacturing and service </w:t>
      </w:r>
      <w:r>
        <w:rPr>
          <w:rFonts w:ascii="Times New Roman" w:hAnsi="Times New Roman" w:cs="Times New Roman"/>
          <w:sz w:val="24"/>
          <w:szCs w:val="24"/>
        </w:rPr>
        <w:t>firms. International Journal of</w:t>
      </w:r>
      <w:r>
        <w:rPr>
          <w:rFonts w:ascii="Times New Roman" w:hAnsi="Times New Roman" w:cs="Times New Roman"/>
          <w:sz w:val="24"/>
          <w:szCs w:val="24"/>
        </w:rPr>
        <w:tab/>
      </w:r>
      <w:r w:rsidRPr="005800D2">
        <w:rPr>
          <w:rFonts w:ascii="Times New Roman" w:hAnsi="Times New Roman" w:cs="Times New Roman"/>
          <w:sz w:val="24"/>
          <w:szCs w:val="24"/>
        </w:rPr>
        <w:t>Productivity and Performance Management, 66(7), 914-931.</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Fleisher, C. S., &amp; Bensoussan, B. E. (2015). Business and competitive analysis</w:t>
      </w:r>
      <w:r>
        <w:rPr>
          <w:rFonts w:ascii="Times New Roman" w:hAnsi="Times New Roman" w:cs="Times New Roman"/>
          <w:sz w:val="24"/>
          <w:szCs w:val="24"/>
        </w:rPr>
        <w:t>: effective</w:t>
      </w:r>
      <w:r>
        <w:rPr>
          <w:rFonts w:ascii="Times New Roman" w:hAnsi="Times New Roman" w:cs="Times New Roman"/>
          <w:sz w:val="24"/>
          <w:szCs w:val="24"/>
        </w:rPr>
        <w:tab/>
      </w:r>
      <w:r w:rsidRPr="005800D2">
        <w:rPr>
          <w:rFonts w:ascii="Times New Roman" w:hAnsi="Times New Roman" w:cs="Times New Roman"/>
          <w:sz w:val="24"/>
          <w:szCs w:val="24"/>
        </w:rPr>
        <w:t xml:space="preserve">application of new and classic methods. FT Press. </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Jayant, A., Giri, V., Singh, P. K., &amp; Luthra, S. (2018). A state-of th</w:t>
      </w:r>
      <w:r>
        <w:rPr>
          <w:rFonts w:ascii="Times New Roman" w:hAnsi="Times New Roman" w:cs="Times New Roman"/>
          <w:sz w:val="24"/>
          <w:szCs w:val="24"/>
        </w:rPr>
        <w:t>e-art literature survey of grey</w:t>
      </w:r>
      <w:r>
        <w:rPr>
          <w:rFonts w:ascii="Times New Roman" w:hAnsi="Times New Roman" w:cs="Times New Roman"/>
          <w:sz w:val="24"/>
          <w:szCs w:val="24"/>
        </w:rPr>
        <w:tab/>
      </w:r>
      <w:r w:rsidRPr="005800D2">
        <w:rPr>
          <w:rFonts w:ascii="Times New Roman" w:hAnsi="Times New Roman" w:cs="Times New Roman"/>
          <w:sz w:val="24"/>
          <w:szCs w:val="24"/>
        </w:rPr>
        <w:t>relational analysis applications in competitive busi</w:t>
      </w:r>
      <w:r>
        <w:rPr>
          <w:rFonts w:ascii="Times New Roman" w:hAnsi="Times New Roman" w:cs="Times New Roman"/>
          <w:sz w:val="24"/>
          <w:szCs w:val="24"/>
        </w:rPr>
        <w:t>ness environment. International</w:t>
      </w:r>
      <w:r>
        <w:rPr>
          <w:rFonts w:ascii="Times New Roman" w:hAnsi="Times New Roman" w:cs="Times New Roman"/>
          <w:sz w:val="24"/>
          <w:szCs w:val="24"/>
        </w:rPr>
        <w:tab/>
        <w:t>Journal</w:t>
      </w:r>
      <w:r>
        <w:rPr>
          <w:rFonts w:ascii="Times New Roman" w:hAnsi="Times New Roman" w:cs="Times New Roman"/>
          <w:sz w:val="24"/>
          <w:szCs w:val="24"/>
        </w:rPr>
        <w:tab/>
      </w:r>
      <w:r w:rsidRPr="005800D2">
        <w:rPr>
          <w:rFonts w:ascii="Times New Roman" w:hAnsi="Times New Roman" w:cs="Times New Roman"/>
          <w:sz w:val="24"/>
          <w:szCs w:val="24"/>
        </w:rPr>
        <w:t>of Industrial and Systems Engineering, 30(4), 425-448.</w:t>
      </w:r>
    </w:p>
    <w:p w:rsidR="005800D2" w:rsidRPr="005800D2" w:rsidRDefault="005800D2" w:rsidP="005800D2">
      <w:pPr>
        <w:spacing w:after="0" w:line="480" w:lineRule="auto"/>
        <w:rPr>
          <w:rFonts w:ascii="Times New Roman" w:hAnsi="Times New Roman" w:cs="Times New Roman"/>
          <w:sz w:val="24"/>
          <w:szCs w:val="24"/>
        </w:rPr>
      </w:pPr>
      <w:r w:rsidRPr="005800D2">
        <w:rPr>
          <w:rFonts w:ascii="Times New Roman" w:hAnsi="Times New Roman" w:cs="Times New Roman"/>
          <w:sz w:val="24"/>
          <w:szCs w:val="24"/>
        </w:rPr>
        <w:t xml:space="preserve">Viswanadham, N. (2018). Performance analysis and design </w:t>
      </w:r>
      <w:r>
        <w:rPr>
          <w:rFonts w:ascii="Times New Roman" w:hAnsi="Times New Roman" w:cs="Times New Roman"/>
          <w:sz w:val="24"/>
          <w:szCs w:val="24"/>
        </w:rPr>
        <w:t>of competitive business models.</w:t>
      </w:r>
      <w:r>
        <w:rPr>
          <w:rFonts w:ascii="Times New Roman" w:hAnsi="Times New Roman" w:cs="Times New Roman"/>
          <w:sz w:val="24"/>
          <w:szCs w:val="24"/>
        </w:rPr>
        <w:tab/>
      </w:r>
      <w:r w:rsidRPr="005800D2">
        <w:rPr>
          <w:rFonts w:ascii="Times New Roman" w:hAnsi="Times New Roman" w:cs="Times New Roman"/>
          <w:sz w:val="24"/>
          <w:szCs w:val="24"/>
        </w:rPr>
        <w:t>International Journal of Production Research, 56(1-2), 983-999.</w:t>
      </w:r>
    </w:p>
    <w:p w:rsidR="005800D2" w:rsidRPr="005800D2" w:rsidRDefault="005800D2" w:rsidP="005800D2">
      <w:pPr>
        <w:spacing w:after="0" w:line="480" w:lineRule="auto"/>
        <w:rPr>
          <w:rFonts w:ascii="Times New Roman" w:hAnsi="Times New Roman" w:cs="Times New Roman"/>
          <w:sz w:val="24"/>
          <w:szCs w:val="24"/>
        </w:rPr>
      </w:pPr>
    </w:p>
    <w:sectPr w:rsidR="005800D2" w:rsidRPr="005800D2" w:rsidSect="005800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005" w:rsidRDefault="00A66005" w:rsidP="002D1C7D">
      <w:pPr>
        <w:spacing w:after="0" w:line="240" w:lineRule="auto"/>
      </w:pPr>
      <w:r>
        <w:separator/>
      </w:r>
    </w:p>
  </w:endnote>
  <w:endnote w:type="continuationSeparator" w:id="0">
    <w:p w:rsidR="00A66005" w:rsidRDefault="00A66005" w:rsidP="002D1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005" w:rsidRDefault="00A66005" w:rsidP="002D1C7D">
      <w:pPr>
        <w:spacing w:after="0" w:line="240" w:lineRule="auto"/>
      </w:pPr>
      <w:r>
        <w:separator/>
      </w:r>
    </w:p>
  </w:footnote>
  <w:footnote w:type="continuationSeparator" w:id="0">
    <w:p w:rsidR="00A66005" w:rsidRDefault="00A66005" w:rsidP="002D1C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D2" w:rsidRPr="00942D66" w:rsidRDefault="00942D66" w:rsidP="00942D66">
    <w:pPr>
      <w:pStyle w:val="Header"/>
      <w:jc w:val="right"/>
      <w:rPr>
        <w:rFonts w:ascii="Times New Roman" w:hAnsi="Times New Roman" w:cs="Times New Roman"/>
        <w:sz w:val="24"/>
        <w:szCs w:val="24"/>
      </w:rPr>
    </w:pPr>
    <w:r w:rsidRPr="00942D66">
      <w:rPr>
        <w:rFonts w:ascii="Times New Roman" w:hAnsi="Times New Roman" w:cs="Times New Roman"/>
        <w:sz w:val="24"/>
        <w:szCs w:val="24"/>
      </w:rPr>
      <w:t>THE COMPETITIVE ANALYSIS</w:t>
    </w:r>
    <w:r w:rsidRPr="00942D66">
      <w:rPr>
        <w:rFonts w:ascii="Times New Roman" w:hAnsi="Times New Roman" w:cs="Times New Roman"/>
        <w:sz w:val="24"/>
        <w:szCs w:val="24"/>
      </w:rPr>
      <w:tab/>
    </w:r>
    <w:r w:rsidRPr="00942D66">
      <w:rPr>
        <w:rFonts w:ascii="Times New Roman" w:hAnsi="Times New Roman" w:cs="Times New Roman"/>
        <w:sz w:val="24"/>
        <w:szCs w:val="24"/>
      </w:rPr>
      <w:tab/>
    </w:r>
    <w:sdt>
      <w:sdtPr>
        <w:rPr>
          <w:rFonts w:ascii="Times New Roman" w:hAnsi="Times New Roman" w:cs="Times New Roman"/>
          <w:sz w:val="24"/>
          <w:szCs w:val="24"/>
        </w:rPr>
        <w:id w:val="301584147"/>
        <w:docPartObj>
          <w:docPartGallery w:val="Page Numbers (Top of Page)"/>
          <w:docPartUnique/>
        </w:docPartObj>
      </w:sdtPr>
      <w:sdtEndPr>
        <w:rPr>
          <w:noProof/>
        </w:rPr>
      </w:sdtEndPr>
      <w:sdtContent>
        <w:r w:rsidR="005800D2" w:rsidRPr="00942D66">
          <w:rPr>
            <w:rFonts w:ascii="Times New Roman" w:hAnsi="Times New Roman" w:cs="Times New Roman"/>
            <w:sz w:val="24"/>
            <w:szCs w:val="24"/>
          </w:rPr>
          <w:fldChar w:fldCharType="begin"/>
        </w:r>
        <w:r w:rsidR="005800D2" w:rsidRPr="00942D66">
          <w:rPr>
            <w:rFonts w:ascii="Times New Roman" w:hAnsi="Times New Roman" w:cs="Times New Roman"/>
            <w:sz w:val="24"/>
            <w:szCs w:val="24"/>
          </w:rPr>
          <w:instrText xml:space="preserve"> PAGE   \* MERGEFORMAT </w:instrText>
        </w:r>
        <w:r w:rsidR="005800D2" w:rsidRPr="00942D66">
          <w:rPr>
            <w:rFonts w:ascii="Times New Roman" w:hAnsi="Times New Roman" w:cs="Times New Roman"/>
            <w:sz w:val="24"/>
            <w:szCs w:val="24"/>
          </w:rPr>
          <w:fldChar w:fldCharType="separate"/>
        </w:r>
        <w:r w:rsidR="00663E6A">
          <w:rPr>
            <w:rFonts w:ascii="Times New Roman" w:hAnsi="Times New Roman" w:cs="Times New Roman"/>
            <w:noProof/>
            <w:sz w:val="24"/>
            <w:szCs w:val="24"/>
          </w:rPr>
          <w:t>6</w:t>
        </w:r>
        <w:r w:rsidR="005800D2" w:rsidRPr="00942D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0D2" w:rsidRPr="00942D66" w:rsidRDefault="00942D66" w:rsidP="00942D66">
    <w:pPr>
      <w:pStyle w:val="Header"/>
      <w:jc w:val="right"/>
      <w:rPr>
        <w:rFonts w:ascii="Times New Roman" w:hAnsi="Times New Roman" w:cs="Times New Roman"/>
        <w:sz w:val="24"/>
        <w:szCs w:val="24"/>
      </w:rPr>
    </w:pPr>
    <w:r w:rsidRPr="00942D66">
      <w:rPr>
        <w:rFonts w:ascii="Times New Roman" w:hAnsi="Times New Roman" w:cs="Times New Roman"/>
        <w:sz w:val="24"/>
        <w:szCs w:val="24"/>
      </w:rPr>
      <w:t>Running head: THE COMPETITIVE ANALYSIS</w:t>
    </w:r>
    <w:r w:rsidRPr="00942D66">
      <w:rPr>
        <w:rFonts w:ascii="Times New Roman" w:hAnsi="Times New Roman" w:cs="Times New Roman"/>
        <w:sz w:val="24"/>
        <w:szCs w:val="24"/>
      </w:rPr>
      <w:tab/>
    </w:r>
    <w:sdt>
      <w:sdtPr>
        <w:rPr>
          <w:rFonts w:ascii="Times New Roman" w:hAnsi="Times New Roman" w:cs="Times New Roman"/>
          <w:sz w:val="24"/>
          <w:szCs w:val="24"/>
        </w:rPr>
        <w:id w:val="560365898"/>
        <w:docPartObj>
          <w:docPartGallery w:val="Page Numbers (Top of Page)"/>
          <w:docPartUnique/>
        </w:docPartObj>
      </w:sdtPr>
      <w:sdtEndPr>
        <w:rPr>
          <w:noProof/>
        </w:rPr>
      </w:sdtEndPr>
      <w:sdtContent>
        <w:r w:rsidRPr="00942D66">
          <w:rPr>
            <w:rFonts w:ascii="Times New Roman" w:hAnsi="Times New Roman" w:cs="Times New Roman"/>
            <w:sz w:val="24"/>
            <w:szCs w:val="24"/>
          </w:rPr>
          <w:fldChar w:fldCharType="begin"/>
        </w:r>
        <w:r w:rsidRPr="00942D66">
          <w:rPr>
            <w:rFonts w:ascii="Times New Roman" w:hAnsi="Times New Roman" w:cs="Times New Roman"/>
            <w:sz w:val="24"/>
            <w:szCs w:val="24"/>
          </w:rPr>
          <w:instrText xml:space="preserve"> PAGE   \* MERGEFORMAT </w:instrText>
        </w:r>
        <w:r w:rsidRPr="00942D66">
          <w:rPr>
            <w:rFonts w:ascii="Times New Roman" w:hAnsi="Times New Roman" w:cs="Times New Roman"/>
            <w:sz w:val="24"/>
            <w:szCs w:val="24"/>
          </w:rPr>
          <w:fldChar w:fldCharType="separate"/>
        </w:r>
        <w:r w:rsidR="00663E6A">
          <w:rPr>
            <w:rFonts w:ascii="Times New Roman" w:hAnsi="Times New Roman" w:cs="Times New Roman"/>
            <w:noProof/>
            <w:sz w:val="24"/>
            <w:szCs w:val="24"/>
          </w:rPr>
          <w:t>1</w:t>
        </w:r>
        <w:r w:rsidRPr="00942D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zMjM1trAwNzEzNTJV0lEKTi0uzszPAykwrAUA/ZlVBywAAAA="/>
  </w:docVars>
  <w:rsids>
    <w:rsidRoot w:val="00F14B58"/>
    <w:rsid w:val="00003984"/>
    <w:rsid w:val="000C564F"/>
    <w:rsid w:val="00121AD3"/>
    <w:rsid w:val="0016654C"/>
    <w:rsid w:val="001D097C"/>
    <w:rsid w:val="00215896"/>
    <w:rsid w:val="002D1C7D"/>
    <w:rsid w:val="004C30B5"/>
    <w:rsid w:val="005800D2"/>
    <w:rsid w:val="00663E6A"/>
    <w:rsid w:val="00942D66"/>
    <w:rsid w:val="00A66005"/>
    <w:rsid w:val="00E610AC"/>
    <w:rsid w:val="00F14B5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7D"/>
  </w:style>
  <w:style w:type="paragraph" w:styleId="Footer">
    <w:name w:val="footer"/>
    <w:basedOn w:val="Normal"/>
    <w:link w:val="FooterChar"/>
    <w:uiPriority w:val="99"/>
    <w:unhideWhenUsed/>
    <w:rsid w:val="002D1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7D"/>
  </w:style>
  <w:style w:type="paragraph" w:styleId="Footer">
    <w:name w:val="footer"/>
    <w:basedOn w:val="Normal"/>
    <w:link w:val="FooterChar"/>
    <w:uiPriority w:val="99"/>
    <w:unhideWhenUsed/>
    <w:rsid w:val="002D1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2019-02-03T00:16:00Z</dcterms:created>
  <dcterms:modified xsi:type="dcterms:W3CDTF">2019-02-03T00:16:00Z</dcterms:modified>
</cp:coreProperties>
</file>